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DD5F" w14:textId="64590BA7" w:rsidR="00B63F6C" w:rsidRPr="00F70DE9" w:rsidRDefault="00000000" w:rsidP="002829E1">
      <w:pPr>
        <w:pStyle w:val="Heading1"/>
        <w:spacing w:after="360" w:line="640" w:lineRule="exact"/>
        <w:rPr>
          <w:lang w:val="en-GB"/>
        </w:rPr>
      </w:pPr>
      <w:bookmarkStart w:id="0" w:name="_Hlk176163915"/>
      <w:bookmarkStart w:id="1" w:name="_Hlk202255969"/>
      <w:bookmarkEnd w:id="0"/>
      <w:r>
        <w:pict w14:anchorId="15AA362F">
          <v:shape id="Picture 3" o:spid="_x0000_s2050" type="#_x0000_t75" alt="" style="position:absolute;margin-left:476pt;margin-top:2pt;width:1in;height:28.3pt;z-index:251658240;visibility:visible;mso-wrap-style:square;mso-wrap-edited:f;mso-width-percent:0;mso-height-percent:0;mso-width-percent:0;mso-height-percent:0">
            <v:imagedata r:id="rId8" o:title="A blue and yellow logo&#10;&#10;Description automatically generated"/>
            <w10:wrap type="topAndBottom"/>
          </v:shape>
        </w:pict>
      </w:r>
      <w:r w:rsidR="00BC1257" w:rsidRPr="00F70DE9">
        <w:rPr>
          <w:lang w:val="en-GB"/>
        </w:rPr>
        <w:t xml:space="preserve">Amplia's </w:t>
      </w:r>
      <w:r w:rsidR="0021442C" w:rsidRPr="00F70DE9">
        <w:rPr>
          <w:lang w:val="en-GB"/>
        </w:rPr>
        <w:t>monthly investor letter</w:t>
      </w:r>
    </w:p>
    <w:p w14:paraId="54B31FCF" w14:textId="77777777" w:rsidR="006F68AE" w:rsidRPr="00F70DE9" w:rsidRDefault="006F68AE" w:rsidP="002829E1">
      <w:pPr>
        <w:rPr>
          <w:lang w:val="en-GB"/>
        </w:rPr>
        <w:sectPr w:rsidR="006F68AE" w:rsidRPr="00F70DE9" w:rsidSect="009216E9">
          <w:footerReference w:type="default" r:id="rId9"/>
          <w:footerReference w:type="first" r:id="rId10"/>
          <w:pgSz w:w="12240" w:h="15840"/>
          <w:pgMar w:top="567" w:right="567" w:bottom="567" w:left="567" w:header="284" w:footer="284" w:gutter="142"/>
          <w:cols w:num="2" w:space="720"/>
          <w:titlePg/>
          <w:docGrid w:linePitch="381"/>
        </w:sectPr>
      </w:pPr>
    </w:p>
    <w:p w14:paraId="60758328" w14:textId="3C31E180" w:rsidR="00C1178B" w:rsidRPr="00F70DE9" w:rsidRDefault="00280BFB" w:rsidP="00C1178B">
      <w:pPr>
        <w:pStyle w:val="Heading2"/>
        <w:rPr>
          <w:lang w:val="en-GB"/>
        </w:rPr>
      </w:pPr>
      <w:r w:rsidRPr="00280BFB">
        <w:rPr>
          <w:lang w:val="en-GB"/>
        </w:rPr>
        <w:t xml:space="preserve">The </w:t>
      </w:r>
      <w:proofErr w:type="spellStart"/>
      <w:r w:rsidRPr="00280BFB">
        <w:rPr>
          <w:lang w:val="en-GB"/>
        </w:rPr>
        <w:t>Cicones</w:t>
      </w:r>
      <w:proofErr w:type="spellEnd"/>
      <w:r w:rsidRPr="00280BFB">
        <w:rPr>
          <w:lang w:val="en-GB"/>
        </w:rPr>
        <w:t xml:space="preserve"> (</w:t>
      </w:r>
      <w:proofErr w:type="spellStart"/>
      <w:r w:rsidRPr="00280BFB">
        <w:rPr>
          <w:lang w:val="en-GB"/>
        </w:rPr>
        <w:t>Cicones</w:t>
      </w:r>
      <w:proofErr w:type="spellEnd"/>
      <w:r w:rsidRPr="00280BFB">
        <w:rPr>
          <w:lang w:val="en-GB"/>
        </w:rPr>
        <w:t>)</w:t>
      </w:r>
    </w:p>
    <w:p w14:paraId="0E2C0700" w14:textId="2EF5FE5E" w:rsidR="00280BFB" w:rsidRPr="00280BFB" w:rsidRDefault="00280BFB" w:rsidP="00280BFB">
      <w:pPr>
        <w:rPr>
          <w:lang w:val="en-GB"/>
        </w:rPr>
      </w:pPr>
      <w:r w:rsidRPr="00280BFB">
        <w:rPr>
          <w:lang w:val="en-GB"/>
        </w:rPr>
        <w:t xml:space="preserve">The story of Odysseus' wanderings begins with his crew plundering the city of the </w:t>
      </w:r>
      <w:proofErr w:type="spellStart"/>
      <w:r w:rsidRPr="00280BFB">
        <w:rPr>
          <w:lang w:val="en-GB"/>
        </w:rPr>
        <w:t>Cicones</w:t>
      </w:r>
      <w:proofErr w:type="spellEnd"/>
      <w:r w:rsidRPr="00280BFB">
        <w:rPr>
          <w:lang w:val="en-GB"/>
        </w:rPr>
        <w:t xml:space="preserve"> after the Trojan War. After the plunder, the Greeks stay to celebrate – and during the night are attacked by the </w:t>
      </w:r>
      <w:proofErr w:type="spellStart"/>
      <w:r w:rsidRPr="00280BFB">
        <w:rPr>
          <w:lang w:val="en-GB"/>
        </w:rPr>
        <w:t>Cicones</w:t>
      </w:r>
      <w:proofErr w:type="spellEnd"/>
      <w:r w:rsidRPr="00280BFB">
        <w:rPr>
          <w:lang w:val="en-GB"/>
        </w:rPr>
        <w:t>, who have gathered reinforcements. The symbolism is the price of greed and hubris.</w:t>
      </w:r>
    </w:p>
    <w:p w14:paraId="2CB751C0" w14:textId="4A1551F5" w:rsidR="00B20DC5" w:rsidRPr="00F70DE9" w:rsidRDefault="00280BFB" w:rsidP="00280BFB">
      <w:pPr>
        <w:rPr>
          <w:lang w:val="en-GB"/>
        </w:rPr>
      </w:pPr>
      <w:r w:rsidRPr="00280BFB">
        <w:rPr>
          <w:lang w:val="en-GB"/>
        </w:rPr>
        <w:t xml:space="preserve">The rounds of attacks by the White House on the Fed's sovereignty and the market's sudden ambivalence towards tariffs may in future history books be described as an excess of greed and hubris, where actors carelessly choose to look the other way. Are we </w:t>
      </w:r>
      <w:proofErr w:type="gramStart"/>
      <w:r w:rsidRPr="00280BFB">
        <w:rPr>
          <w:lang w:val="en-GB"/>
        </w:rPr>
        <w:t>in the midst of</w:t>
      </w:r>
      <w:proofErr w:type="gramEnd"/>
      <w:r w:rsidRPr="00280BFB">
        <w:rPr>
          <w:lang w:val="en-GB"/>
        </w:rPr>
        <w:t xml:space="preserve"> a wandering?</w:t>
      </w:r>
    </w:p>
    <w:p w14:paraId="5EDC1FF2" w14:textId="7362F38F" w:rsidR="00C1178B" w:rsidRPr="00F70DE9" w:rsidRDefault="00280BFB" w:rsidP="00C1178B">
      <w:pPr>
        <w:pStyle w:val="Heading2"/>
        <w:rPr>
          <w:lang w:val="en-GB"/>
        </w:rPr>
      </w:pPr>
      <w:r w:rsidRPr="00280BFB">
        <w:rPr>
          <w:lang w:val="en-GB"/>
        </w:rPr>
        <w:t>Performance: Aeolus and the bag of winds (Aeolus)</w:t>
      </w:r>
    </w:p>
    <w:p w14:paraId="7E6EFFEC" w14:textId="592417FC" w:rsidR="002E5815" w:rsidRPr="00F70DE9" w:rsidRDefault="00280BFB" w:rsidP="00140103">
      <w:pPr>
        <w:rPr>
          <w:noProof/>
          <w:lang w:val="en-GB"/>
        </w:rPr>
      </w:pPr>
      <w:r w:rsidRPr="00280BFB">
        <w:rPr>
          <w:lang w:val="en-GB"/>
        </w:rPr>
        <w:t>The tailwind on the stock markets largely continued in August. Among the broader indices, only the S&amp;P 500 and MSCI Emerging Markets posted negative returns. China (+8.8%) and Japan (+4.2%) stood out, as did small-cap companies in the US (+4.7%).</w:t>
      </w:r>
      <w:r w:rsidR="005C26E8" w:rsidRPr="00F70DE9">
        <w:rPr>
          <w:lang w:val="en-GB"/>
        </w:rPr>
        <w:t xml:space="preserve">                     </w:t>
      </w:r>
    </w:p>
    <w:p w14:paraId="75AA6316" w14:textId="421F9AFB" w:rsidR="00BE668F" w:rsidRPr="00280BFB" w:rsidRDefault="00BE668F" w:rsidP="00140103">
      <w:pPr>
        <w:rPr>
          <w:lang w:val="en-GB"/>
        </w:rPr>
      </w:pPr>
      <w:r w:rsidRPr="00280BFB">
        <w:rPr>
          <w:lang w:val="en-GB"/>
        </w:rPr>
        <w:t xml:space="preserve">      </w:t>
      </w:r>
      <w:r w:rsidR="00280BFB" w:rsidRPr="00280BFB">
        <w:drawing>
          <wp:inline distT="0" distB="0" distL="0" distR="0" wp14:anchorId="65C5ED55" wp14:editId="03DE858D">
            <wp:extent cx="3252470" cy="2545080"/>
            <wp:effectExtent l="0" t="0" r="5080" b="7620"/>
            <wp:docPr id="1330632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2470" cy="2545080"/>
                    </a:xfrm>
                    <a:prstGeom prst="rect">
                      <a:avLst/>
                    </a:prstGeom>
                    <a:noFill/>
                    <a:ln>
                      <a:noFill/>
                    </a:ln>
                  </pic:spPr>
                </pic:pic>
              </a:graphicData>
            </a:graphic>
          </wp:inline>
        </w:drawing>
      </w:r>
      <w:r w:rsidRPr="00280BFB">
        <w:rPr>
          <w:lang w:val="en-GB"/>
        </w:rPr>
        <w:t xml:space="preserve">                                                                            </w:t>
      </w:r>
    </w:p>
    <w:p w14:paraId="53272BFC" w14:textId="447A322B" w:rsidR="00236E4B" w:rsidRPr="00F70DE9" w:rsidRDefault="004C1273" w:rsidP="00236E4B">
      <w:pPr>
        <w:pStyle w:val="Heading2"/>
        <w:spacing w:before="0"/>
        <w:rPr>
          <w:rFonts w:ascii="DM Sans 14pt" w:eastAsiaTheme="minorHAnsi" w:hAnsi="DM Sans 14pt" w:cstheme="minorBidi"/>
          <w:i/>
          <w:iCs/>
          <w:color w:val="161A19"/>
          <w:sz w:val="16"/>
          <w:lang w:val="en-GB"/>
        </w:rPr>
      </w:pPr>
      <w:r w:rsidRPr="00F70DE9">
        <w:rPr>
          <w:rFonts w:ascii="DM Sans 14pt" w:eastAsiaTheme="minorHAnsi" w:hAnsi="DM Sans 14pt" w:cstheme="minorBidi"/>
          <w:i/>
          <w:iCs/>
          <w:color w:val="161A19"/>
          <w:sz w:val="16"/>
          <w:lang w:val="en-GB"/>
        </w:rPr>
        <w:t>Source</w:t>
      </w:r>
      <w:r w:rsidR="00236E4B" w:rsidRPr="00F70DE9">
        <w:rPr>
          <w:rFonts w:ascii="DM Sans 14pt" w:eastAsiaTheme="minorHAnsi" w:hAnsi="DM Sans 14pt" w:cstheme="minorBidi"/>
          <w:i/>
          <w:iCs/>
          <w:color w:val="161A19"/>
          <w:sz w:val="16"/>
          <w:lang w:val="en-GB"/>
        </w:rPr>
        <w:t xml:space="preserve">: </w:t>
      </w:r>
      <w:r w:rsidRPr="00F70DE9">
        <w:rPr>
          <w:rFonts w:ascii="DM Sans 14pt" w:eastAsiaTheme="minorHAnsi" w:hAnsi="DM Sans 14pt" w:cstheme="minorBidi"/>
          <w:i/>
          <w:iCs/>
          <w:color w:val="161A19"/>
          <w:sz w:val="16"/>
          <w:lang w:val="en-GB"/>
        </w:rPr>
        <w:t>Amplia, Bloomberg</w:t>
      </w:r>
    </w:p>
    <w:p w14:paraId="09BE9C6F" w14:textId="21653899" w:rsidR="00140103" w:rsidRPr="00F70DE9" w:rsidRDefault="00280BFB" w:rsidP="00140103">
      <w:pPr>
        <w:rPr>
          <w:lang w:val="en-GB"/>
        </w:rPr>
      </w:pPr>
      <w:r w:rsidRPr="00280BFB">
        <w:rPr>
          <w:lang w:val="en-GB"/>
        </w:rPr>
        <w:t>The fixed income market was more mixed: government bonds posted negative returns, while fixed income securities with higher credit risk fared better.</w:t>
      </w:r>
    </w:p>
    <w:p w14:paraId="2081C84C" w14:textId="449C0C78" w:rsidR="00C1178B" w:rsidRPr="00F70DE9" w:rsidRDefault="00280BFB" w:rsidP="00C1178B">
      <w:pPr>
        <w:rPr>
          <w:rFonts w:ascii="DM Sans 14pt Medium" w:eastAsiaTheme="majorEastAsia" w:hAnsi="DM Sans 14pt Medium" w:cstheme="majorBidi"/>
          <w:color w:val="CD9D4D"/>
          <w:sz w:val="22"/>
          <w:lang w:val="en-GB"/>
        </w:rPr>
      </w:pPr>
      <w:r w:rsidRPr="00280BFB">
        <w:rPr>
          <w:rFonts w:ascii="DM Sans 14pt Medium" w:eastAsiaTheme="majorEastAsia" w:hAnsi="DM Sans 14pt Medium" w:cstheme="majorBidi"/>
          <w:color w:val="CD9D4D"/>
          <w:sz w:val="22"/>
          <w:lang w:val="en-GB"/>
        </w:rPr>
        <w:t>Macro: The Cyclops (Polyphemus)</w:t>
      </w:r>
    </w:p>
    <w:p w14:paraId="50C5B964" w14:textId="77777777" w:rsidR="00280BFB" w:rsidRPr="00280BFB" w:rsidRDefault="00280BFB" w:rsidP="00280BFB">
      <w:pPr>
        <w:rPr>
          <w:lang w:val="en-GB"/>
        </w:rPr>
      </w:pPr>
      <w:r w:rsidRPr="00280BFB">
        <w:rPr>
          <w:lang w:val="en-GB"/>
        </w:rPr>
        <w:t>The Jackson Hole symposium was held on August 21-23. As usual, academics and central bankers gathered to discuss current issues – and to engage in Kremlinology communication with the outside world. The biggest takeaway for the market was Powell's speech, which was interpreted as a tectonic shift in the Fed's approach: from keeping interest rates high to avoid inflation-driven growth damage, to emphasizing how lower interest rates should support growth even in an environment of higher inflation. A minor detail in the argument – which opens the gates of Hades to a central bank under the president's control. Low interest rates can support growth, but risk fuelling inflation (which in turn destroys growth) – especially when inflation is not met with higher unemployment.</w:t>
      </w:r>
    </w:p>
    <w:p w14:paraId="4C661548" w14:textId="77777777" w:rsidR="00280BFB" w:rsidRPr="00280BFB" w:rsidRDefault="00280BFB" w:rsidP="00280BFB">
      <w:pPr>
        <w:rPr>
          <w:lang w:val="en-GB"/>
        </w:rPr>
      </w:pPr>
    </w:p>
    <w:p w14:paraId="7B68E7DF" w14:textId="217C341A" w:rsidR="00280BFB" w:rsidRPr="00280BFB" w:rsidRDefault="00280BFB" w:rsidP="00280BFB">
      <w:pPr>
        <w:rPr>
          <w:lang w:val="en-GB"/>
        </w:rPr>
      </w:pPr>
      <w:r w:rsidRPr="00280BFB">
        <w:rPr>
          <w:lang w:val="en-GB"/>
        </w:rPr>
        <w:t>At the same time, Trump has (attempted to) dismiss Lisa Cook from the Federal Reserve – the first time a sitting president has tried to dismiss a governor from the Board of Governors. Governor Cook has appealed, but the gauntlet has been thrown down: Trump wants control over the central bank.</w:t>
      </w:r>
    </w:p>
    <w:p w14:paraId="029456D2" w14:textId="77777777" w:rsidR="00280BFB" w:rsidRPr="00280BFB" w:rsidRDefault="00280BFB" w:rsidP="00280BFB">
      <w:pPr>
        <w:rPr>
          <w:lang w:val="en-GB"/>
        </w:rPr>
      </w:pPr>
      <w:r w:rsidRPr="00280BFB">
        <w:rPr>
          <w:lang w:val="en-GB"/>
        </w:rPr>
        <w:t>The Fed's new stance from Jackson Hole means there is a risk that budget costs will skyrocket without growth picking up, while long-term interest rates rise – to the dramatic music of a potentially imminent Minsky moment. If the Fed really submits to the president's will, this could drive the US economy into a death spiral, poison the dollar as a reserve currency and at the same time strengthen the euro as the currency with the more credible central bank.</w:t>
      </w:r>
    </w:p>
    <w:p w14:paraId="3BA1A07C" w14:textId="77777777" w:rsidR="00280BFB" w:rsidRPr="00280BFB" w:rsidRDefault="00280BFB" w:rsidP="00280BFB">
      <w:pPr>
        <w:rPr>
          <w:lang w:val="en-GB"/>
        </w:rPr>
      </w:pPr>
      <w:r w:rsidRPr="00280BFB">
        <w:rPr>
          <w:lang w:val="en-GB"/>
        </w:rPr>
        <w:t xml:space="preserve">Europe is characterized by a relatively hot </w:t>
      </w:r>
      <w:proofErr w:type="spellStart"/>
      <w:r w:rsidRPr="00280BFB">
        <w:rPr>
          <w:lang w:val="en-GB"/>
        </w:rPr>
        <w:t>labor</w:t>
      </w:r>
      <w:proofErr w:type="spellEnd"/>
      <w:r w:rsidRPr="00280BFB">
        <w:rPr>
          <w:lang w:val="en-GB"/>
        </w:rPr>
        <w:t xml:space="preserve"> market (with the exceptions of Finland and Spain) but limited inflationary pressure. There is considerable uncertainty about the effects of tariffs on growth, which is why the ECB is likely to remain cautious about both rate hikes and cuts </w:t>
      </w:r>
      <w:proofErr w:type="gramStart"/>
      <w:r w:rsidRPr="00280BFB">
        <w:rPr>
          <w:lang w:val="en-GB"/>
        </w:rPr>
        <w:t>in the near future</w:t>
      </w:r>
      <w:proofErr w:type="gramEnd"/>
      <w:r w:rsidRPr="00280BFB">
        <w:rPr>
          <w:lang w:val="en-GB"/>
        </w:rPr>
        <w:t>.</w:t>
      </w:r>
    </w:p>
    <w:p w14:paraId="6CA99D48" w14:textId="60D8AFC9" w:rsidR="005C26E8" w:rsidRPr="00280BFB" w:rsidRDefault="00280BFB" w:rsidP="005C26E8">
      <w:pPr>
        <w:rPr>
          <w:lang w:val="en-GB"/>
        </w:rPr>
      </w:pPr>
      <w:r w:rsidRPr="00280BFB">
        <w:rPr>
          <w:lang w:val="en-GB"/>
        </w:rPr>
        <w:t xml:space="preserve">A weaker dollar – </w:t>
      </w:r>
      <w:proofErr w:type="gramStart"/>
      <w:r w:rsidRPr="00280BFB">
        <w:rPr>
          <w:lang w:val="en-GB"/>
        </w:rPr>
        <w:t>as a result of</w:t>
      </w:r>
      <w:proofErr w:type="gramEnd"/>
      <w:r w:rsidRPr="00280BFB">
        <w:rPr>
          <w:lang w:val="en-GB"/>
        </w:rPr>
        <w:t xml:space="preserve"> lower interest rates and growth in the US, combined with increased dollar caution abroad – would push for new growth pressure in Europe and, in line with a contagious recession from the US, give the ECB more room to cut rates. The ECB's Scylla and Charybdis are German stimulus measures starting in early 2026 and the US driving force in the form of tariffs and possible Chinese dumping.</w:t>
      </w:r>
    </w:p>
    <w:p w14:paraId="17EC8261" w14:textId="576DD069" w:rsidR="00C1178B" w:rsidRPr="00F70DE9" w:rsidRDefault="00280BFB" w:rsidP="001535CE">
      <w:pPr>
        <w:rPr>
          <w:rFonts w:ascii="DM Sans 14pt Medium" w:eastAsiaTheme="majorEastAsia" w:hAnsi="DM Sans 14pt Medium" w:cstheme="majorBidi"/>
          <w:color w:val="CD9D4D"/>
          <w:sz w:val="22"/>
          <w:lang w:val="en-GB"/>
        </w:rPr>
      </w:pPr>
      <w:r w:rsidRPr="00280BFB">
        <w:rPr>
          <w:rFonts w:ascii="DM Sans 14pt Medium" w:eastAsiaTheme="majorEastAsia" w:hAnsi="DM Sans 14pt Medium" w:cstheme="majorBidi"/>
          <w:color w:val="CD9D4D"/>
          <w:sz w:val="22"/>
          <w:lang w:val="en-GB"/>
        </w:rPr>
        <w:t>Valuation: Circe (Circe)</w:t>
      </w:r>
    </w:p>
    <w:p w14:paraId="0EF2966A" w14:textId="66D46327" w:rsidR="00280BFB" w:rsidRPr="00280BFB" w:rsidRDefault="00280BFB" w:rsidP="00280BFB">
      <w:pPr>
        <w:rPr>
          <w:lang w:val="en-GB"/>
        </w:rPr>
      </w:pPr>
      <w:r w:rsidRPr="00280BFB">
        <w:rPr>
          <w:lang w:val="en-GB"/>
        </w:rPr>
        <w:t>Broad stock indices are close to historic highs, while investment appetite outside AI is subdued. Both Europe and the US are in a precarious situation due to uncertainty about the impact of US tariffs. Europe fears weaker demand from across the Atlantic, while the US is more concerned about what higher, persistent inflation could mean in terms of interest rates and predictability.</w:t>
      </w:r>
    </w:p>
    <w:p w14:paraId="7139241B" w14:textId="7CECB1EC" w:rsidR="00280BFB" w:rsidRPr="00280BFB" w:rsidRDefault="00280BFB" w:rsidP="00280BFB">
      <w:pPr>
        <w:rPr>
          <w:lang w:val="en-GB"/>
        </w:rPr>
      </w:pPr>
      <w:r w:rsidRPr="00280BFB">
        <w:rPr>
          <w:lang w:val="en-GB"/>
        </w:rPr>
        <w:t>While the P/E ratio in the US (S&amp;P 500) is above 24, Europe (Stoxx 600) is just below 16. This means that any disappointment in growth, inflation and/or risk premium – given the same magnitude – will reasonably hit the US stock market about 1.5 times harder.</w:t>
      </w:r>
    </w:p>
    <w:p w14:paraId="01FA54B1" w14:textId="382B0E67" w:rsidR="007C15E0" w:rsidRPr="00F70DE9" w:rsidRDefault="00280BFB" w:rsidP="00280BFB">
      <w:pPr>
        <w:rPr>
          <w:lang w:val="en-GB"/>
        </w:rPr>
      </w:pPr>
      <w:r w:rsidRPr="00280BFB">
        <w:rPr>
          <w:lang w:val="en-GB"/>
        </w:rPr>
        <w:t>The valuation reflects, especially in the US, a Goldilocks scenario where AI drives productivity that compensates for any slack in the rest of the economy. This makes the market vulnerable to rapid shifts in sentiment.</w:t>
      </w:r>
    </w:p>
    <w:p w14:paraId="4C58888F" w14:textId="2BDB0364" w:rsidR="00C1178B" w:rsidRPr="00280BFB" w:rsidRDefault="00280BFB" w:rsidP="00C1178B">
      <w:pPr>
        <w:rPr>
          <w:rFonts w:ascii="DM Sans 14pt Medium" w:eastAsiaTheme="majorEastAsia" w:hAnsi="DM Sans 14pt Medium" w:cstheme="majorBidi"/>
          <w:color w:val="CD9D4D"/>
          <w:sz w:val="22"/>
          <w:lang w:val="fr-CH"/>
        </w:rPr>
      </w:pPr>
      <w:r w:rsidRPr="00280BFB">
        <w:rPr>
          <w:rFonts w:ascii="DM Sans 14pt Medium" w:eastAsiaTheme="majorEastAsia" w:hAnsi="DM Sans 14pt Medium" w:cstheme="majorBidi"/>
          <w:color w:val="CD9D4D"/>
          <w:sz w:val="22"/>
          <w:lang w:val="fr-CH"/>
        </w:rPr>
        <w:t>Sentiment: Sirens (Sirenes)</w:t>
      </w:r>
    </w:p>
    <w:p w14:paraId="153F6AEC" w14:textId="23435C16" w:rsidR="00280BFB" w:rsidRPr="00280BFB" w:rsidRDefault="00280BFB" w:rsidP="00280BFB">
      <w:pPr>
        <w:rPr>
          <w:lang w:val="en-GB"/>
        </w:rPr>
      </w:pPr>
      <w:r w:rsidRPr="00280BFB">
        <w:rPr>
          <w:lang w:val="fr-CH"/>
        </w:rPr>
        <w:t xml:space="preserve">Sentiment remains strong. </w:t>
      </w:r>
      <w:r w:rsidRPr="00280BFB">
        <w:rPr>
          <w:lang w:val="en-GB"/>
        </w:rPr>
        <w:t xml:space="preserve">Despite a market dip in early August, the VIX has remained close to the 15 level, </w:t>
      </w:r>
      <w:r w:rsidR="00ED0D86">
        <w:rPr>
          <w:lang w:val="en-GB"/>
        </w:rPr>
        <w:t xml:space="preserve">still </w:t>
      </w:r>
      <w:r w:rsidRPr="00280BFB">
        <w:rPr>
          <w:lang w:val="en-GB"/>
        </w:rPr>
        <w:t xml:space="preserve">well above realized volatility of 10-12%. Given the uncertainty surrounding the economy and tariff outcomes, the market appears relatively hot. Since the downturn that began around the turn of January-February and lasted until Trump's retreat from “liberation day,” markets have rebounded 19-33% (in local currency), even though the threat to the global economy has largely been </w:t>
      </w:r>
      <w:r w:rsidR="00ED0D86">
        <w:rPr>
          <w:lang w:val="en-GB"/>
        </w:rPr>
        <w:t>re-established</w:t>
      </w:r>
      <w:r w:rsidRPr="00280BFB">
        <w:rPr>
          <w:lang w:val="en-GB"/>
        </w:rPr>
        <w:t xml:space="preserve">. </w:t>
      </w:r>
      <w:proofErr w:type="gramStart"/>
      <w:r w:rsidRPr="00280BFB">
        <w:rPr>
          <w:lang w:val="en-GB"/>
        </w:rPr>
        <w:t>So</w:t>
      </w:r>
      <w:proofErr w:type="gramEnd"/>
      <w:r w:rsidRPr="00280BFB">
        <w:rPr>
          <w:lang w:val="en-GB"/>
        </w:rPr>
        <w:t xml:space="preserve"> we are in almost the same nightmare as in April – but with a much </w:t>
      </w:r>
      <w:r w:rsidR="00ED0D86">
        <w:rPr>
          <w:lang w:val="en-GB"/>
        </w:rPr>
        <w:t xml:space="preserve">more optimistic </w:t>
      </w:r>
      <w:r w:rsidRPr="00280BFB">
        <w:rPr>
          <w:lang w:val="en-GB"/>
        </w:rPr>
        <w:t>outlook.</w:t>
      </w:r>
    </w:p>
    <w:p w14:paraId="3CF5A39F" w14:textId="77777777" w:rsidR="00280BFB" w:rsidRPr="00280BFB" w:rsidRDefault="00280BFB" w:rsidP="00280BFB">
      <w:pPr>
        <w:rPr>
          <w:lang w:val="en-GB"/>
        </w:rPr>
      </w:pPr>
      <w:r w:rsidRPr="00280BFB">
        <w:rPr>
          <w:lang w:val="en-GB"/>
        </w:rPr>
        <w:t xml:space="preserve">When sentiment is strong, the market is strong; the most likely daily movement is up. It's like the familiar game of musical chairs: keep dancing while the music plays – but avoid being the last one standing when it stops. Even if everyone thinks the music has been playing for a long time, you </w:t>
      </w:r>
      <w:proofErr w:type="gramStart"/>
      <w:r w:rsidRPr="00280BFB">
        <w:rPr>
          <w:lang w:val="en-GB"/>
        </w:rPr>
        <w:t>have to</w:t>
      </w:r>
      <w:proofErr w:type="gramEnd"/>
      <w:r w:rsidRPr="00280BFB">
        <w:rPr>
          <w:lang w:val="en-GB"/>
        </w:rPr>
        <w:t xml:space="preserve"> keep dancing and wait for the real signal.</w:t>
      </w:r>
    </w:p>
    <w:p w14:paraId="3692D3F8" w14:textId="735548F8" w:rsidR="00280BFB" w:rsidRPr="00280BFB" w:rsidRDefault="00280BFB" w:rsidP="00280BFB">
      <w:pPr>
        <w:rPr>
          <w:lang w:val="en-GB"/>
        </w:rPr>
      </w:pPr>
      <w:r>
        <w:rPr>
          <w:noProof/>
          <w:lang w:val="en-GB"/>
        </w:rPr>
        <w:lastRenderedPageBreak/>
        <w:drawing>
          <wp:inline distT="0" distB="0" distL="0" distR="0" wp14:anchorId="7538AA6B" wp14:editId="7FEF76BD">
            <wp:extent cx="3291337" cy="2265813"/>
            <wp:effectExtent l="0" t="0" r="4445" b="1270"/>
            <wp:docPr id="18283464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9616" cy="2278397"/>
                    </a:xfrm>
                    <a:prstGeom prst="rect">
                      <a:avLst/>
                    </a:prstGeom>
                    <a:noFill/>
                  </pic:spPr>
                </pic:pic>
              </a:graphicData>
            </a:graphic>
          </wp:inline>
        </w:drawing>
      </w:r>
    </w:p>
    <w:p w14:paraId="13402768" w14:textId="39DA9654" w:rsidR="00140103" w:rsidRPr="00280BFB" w:rsidRDefault="00280BFB" w:rsidP="00280BFB">
      <w:pPr>
        <w:rPr>
          <w:i/>
          <w:iCs/>
          <w:lang w:val="en-GB"/>
        </w:rPr>
      </w:pPr>
      <w:r w:rsidRPr="00280BFB">
        <w:rPr>
          <w:i/>
          <w:iCs/>
          <w:lang w:val="en-GB"/>
        </w:rPr>
        <w:t>Historical data shows that the average length of periods without market corrections (−10% from peak) is around 2½ years.</w:t>
      </w:r>
    </w:p>
    <w:p w14:paraId="06FF300B" w14:textId="6A7EE8B4" w:rsidR="00C1178B" w:rsidRPr="00F70DE9" w:rsidRDefault="00280BFB" w:rsidP="00C1178B">
      <w:pPr>
        <w:rPr>
          <w:rFonts w:ascii="DM Sans 14pt Medium" w:eastAsiaTheme="majorEastAsia" w:hAnsi="DM Sans 14pt Medium" w:cstheme="majorBidi"/>
          <w:color w:val="CD9D4D"/>
          <w:sz w:val="22"/>
          <w:lang w:val="en-GB"/>
        </w:rPr>
      </w:pPr>
      <w:r w:rsidRPr="00280BFB">
        <w:rPr>
          <w:rFonts w:ascii="DM Sans 14pt Medium" w:eastAsiaTheme="majorEastAsia" w:hAnsi="DM Sans 14pt Medium" w:cstheme="majorBidi"/>
          <w:color w:val="CD9D4D"/>
          <w:sz w:val="22"/>
          <w:lang w:val="en-GB"/>
        </w:rPr>
        <w:t>Allocation: The Phaeacians (</w:t>
      </w:r>
      <w:proofErr w:type="spellStart"/>
      <w:r w:rsidRPr="00280BFB">
        <w:rPr>
          <w:rFonts w:ascii="DM Sans 14pt Medium" w:eastAsiaTheme="majorEastAsia" w:hAnsi="DM Sans 14pt Medium" w:cstheme="majorBidi"/>
          <w:color w:val="CD9D4D"/>
          <w:sz w:val="22"/>
          <w:lang w:val="en-GB"/>
        </w:rPr>
        <w:t>Phaeaces</w:t>
      </w:r>
      <w:proofErr w:type="spellEnd"/>
      <w:r w:rsidRPr="00280BFB">
        <w:rPr>
          <w:rFonts w:ascii="DM Sans 14pt Medium" w:eastAsiaTheme="majorEastAsia" w:hAnsi="DM Sans 14pt Medium" w:cstheme="majorBidi"/>
          <w:color w:val="CD9D4D"/>
          <w:sz w:val="22"/>
          <w:lang w:val="en-GB"/>
        </w:rPr>
        <w:t>)</w:t>
      </w:r>
    </w:p>
    <w:p w14:paraId="0045B0F6" w14:textId="674B8B03" w:rsidR="00280BFB" w:rsidRPr="00280BFB" w:rsidRDefault="00280BFB" w:rsidP="00280BFB">
      <w:pPr>
        <w:rPr>
          <w:lang w:val="en-GB"/>
        </w:rPr>
      </w:pPr>
      <w:r w:rsidRPr="00280BFB">
        <w:rPr>
          <w:lang w:val="en-GB"/>
        </w:rPr>
        <w:t>Although the temptation to underweight equities/risk was strong when the earth seemed to shake in early August, we have sat on our hands during the month. Our investment in the MSCI World Health Care ETF demonstrated for the first time the diversification benefit we had anticipated it would provide, as it recovered by more than 5% after the month's convulsions, compared with a mediocre 1.5% in the S&amp;P 500.</w:t>
      </w:r>
    </w:p>
    <w:p w14:paraId="52FBDBB5" w14:textId="5820DD29" w:rsidR="00280BFB" w:rsidRPr="00280BFB" w:rsidRDefault="00280BFB" w:rsidP="00280BFB">
      <w:pPr>
        <w:rPr>
          <w:lang w:val="en-GB"/>
        </w:rPr>
      </w:pPr>
      <w:r w:rsidRPr="00280BFB">
        <w:rPr>
          <w:lang w:val="en-GB"/>
        </w:rPr>
        <w:t>Despite heated sentiment and high valuations, especially in the US, we have chosen to remain overweight in equities and risk in general. Tactically, it may be worthwhile to reduce exposure somewhat if more significant clouds of concern appear in the form of negative macro news, but without an explicit reason, we are not underweighting risk. Fear is a poor investment strategy.</w:t>
      </w:r>
    </w:p>
    <w:p w14:paraId="42E554D2" w14:textId="23289792" w:rsidR="00C1178B" w:rsidRPr="00F70DE9" w:rsidRDefault="00280BFB" w:rsidP="00280BFB">
      <w:pPr>
        <w:rPr>
          <w:lang w:val="en-GB"/>
        </w:rPr>
      </w:pPr>
      <w:r w:rsidRPr="00280BFB">
        <w:rPr>
          <w:lang w:val="en-GB"/>
        </w:rPr>
        <w:t xml:space="preserve">So far, the 2025 stock market year resembles Odysseus' wanderings in many ways: the only certainty about the remaining four months is uncertainty itself. We hope to reach safe </w:t>
      </w:r>
      <w:proofErr w:type="spellStart"/>
      <w:r w:rsidRPr="00280BFB">
        <w:rPr>
          <w:lang w:val="en-GB"/>
        </w:rPr>
        <w:t>harbor</w:t>
      </w:r>
      <w:proofErr w:type="spellEnd"/>
      <w:r w:rsidRPr="00280BFB">
        <w:rPr>
          <w:lang w:val="en-GB"/>
        </w:rPr>
        <w:t xml:space="preserve"> at the end of the year – but we are always prepared for change.</w:t>
      </w:r>
    </w:p>
    <w:p w14:paraId="36C6F609" w14:textId="2A5AFED8" w:rsidR="00C1178B" w:rsidRPr="00F70DE9" w:rsidRDefault="00B861DD" w:rsidP="00C1178B">
      <w:pPr>
        <w:rPr>
          <w:lang w:val="en-GB"/>
        </w:rPr>
      </w:pPr>
      <w:r w:rsidRPr="00F70DE9">
        <w:rPr>
          <w:lang w:val="en-GB"/>
        </w:rPr>
        <w:t>1</w:t>
      </w:r>
      <w:r w:rsidR="0097230E" w:rsidRPr="00F70DE9">
        <w:rPr>
          <w:lang w:val="en-GB"/>
        </w:rPr>
        <w:t xml:space="preserve"> </w:t>
      </w:r>
      <w:r w:rsidR="00280BFB">
        <w:rPr>
          <w:lang w:val="en-GB"/>
        </w:rPr>
        <w:t>September</w:t>
      </w:r>
      <w:r w:rsidR="00C1178B" w:rsidRPr="00F70DE9">
        <w:rPr>
          <w:lang w:val="en-GB"/>
        </w:rPr>
        <w:t xml:space="preserve"> 2025</w:t>
      </w:r>
    </w:p>
    <w:p w14:paraId="0E732CC5" w14:textId="1577FA38" w:rsidR="00C1178B" w:rsidRPr="00F70DE9" w:rsidRDefault="00C1178B" w:rsidP="00C1178B">
      <w:pPr>
        <w:rPr>
          <w:lang w:val="en-GB"/>
        </w:rPr>
      </w:pPr>
      <w:r w:rsidRPr="00F70DE9">
        <w:rPr>
          <w:lang w:val="en-GB"/>
        </w:rPr>
        <w:t>Kind regards</w:t>
      </w:r>
    </w:p>
    <w:p w14:paraId="1F0BA229" w14:textId="28D0FF23" w:rsidR="008E2EDE" w:rsidRDefault="00C1178B" w:rsidP="001535CE">
      <w:pPr>
        <w:rPr>
          <w:lang w:val="en-GB"/>
        </w:rPr>
      </w:pPr>
      <w:r w:rsidRPr="00F70DE9">
        <w:rPr>
          <w:lang w:val="en-GB"/>
        </w:rPr>
        <w:t>Mikael Simonsen</w:t>
      </w:r>
      <w:bookmarkEnd w:id="1"/>
    </w:p>
    <w:p w14:paraId="03B12437" w14:textId="68229832" w:rsidR="00871150" w:rsidRPr="00F70DE9" w:rsidRDefault="00871150" w:rsidP="001535CE">
      <w:pPr>
        <w:rPr>
          <w:lang w:val="en-GB"/>
        </w:rPr>
      </w:pPr>
      <w:r>
        <w:rPr>
          <w:lang w:val="en-GB"/>
        </w:rPr>
        <w:t xml:space="preserve">P.S. </w:t>
      </w:r>
      <w:r w:rsidRPr="00871150">
        <w:rPr>
          <w:lang w:val="en-GB"/>
        </w:rPr>
        <w:t>A recurring, somewhat entertaining habit has been to place our monthly comments in an external frame – opera, card games, navigation, etc. Since Odysseus' wanderings were taking over the text, this time the analogies will remain between the lines.</w:t>
      </w:r>
    </w:p>
    <w:sectPr w:rsidR="00871150" w:rsidRPr="00F70DE9" w:rsidSect="009216E9">
      <w:type w:val="continuous"/>
      <w:pgSz w:w="12240" w:h="15840"/>
      <w:pgMar w:top="567" w:right="567" w:bottom="567" w:left="567" w:header="284" w:footer="284" w:gutter="142"/>
      <w:cols w:num="2"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2FB4" w14:textId="77777777" w:rsidR="000935EF" w:rsidRDefault="000935EF" w:rsidP="002829E1">
      <w:r>
        <w:separator/>
      </w:r>
    </w:p>
    <w:p w14:paraId="1B69FCDC" w14:textId="77777777" w:rsidR="000935EF" w:rsidRDefault="000935EF" w:rsidP="002829E1"/>
  </w:endnote>
  <w:endnote w:type="continuationSeparator" w:id="0">
    <w:p w14:paraId="0F0CAB0D" w14:textId="77777777" w:rsidR="000935EF" w:rsidRDefault="000935EF" w:rsidP="002829E1">
      <w:r>
        <w:continuationSeparator/>
      </w:r>
    </w:p>
    <w:p w14:paraId="740AD9E0" w14:textId="77777777" w:rsidR="000935EF" w:rsidRDefault="000935EF" w:rsidP="00282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M Sans 14pt">
    <w:altName w:val="Calibri"/>
    <w:charset w:val="4D"/>
    <w:family w:val="auto"/>
    <w:pitch w:val="variable"/>
    <w:sig w:usb0="8000002F" w:usb1="4000204B" w:usb2="00000000" w:usb3="00000000" w:csb0="00000093" w:csb1="00000000"/>
  </w:font>
  <w:font w:name="Neuton">
    <w:altName w:val="Calibri"/>
    <w:charset w:val="00"/>
    <w:family w:val="auto"/>
    <w:pitch w:val="variable"/>
    <w:sig w:usb0="00000007" w:usb1="00000000" w:usb2="00000000" w:usb3="00000000" w:csb0="00000003" w:csb1="00000000"/>
  </w:font>
  <w:font w:name="DM Sans 14pt Medium">
    <w:altName w:val="Calibri"/>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2582" w14:textId="02F7CACD" w:rsidR="00B63F6C" w:rsidRPr="00E56DB9" w:rsidRDefault="00E56DB9" w:rsidP="00E56DB9">
    <w:pPr>
      <w:pStyle w:val="Footer"/>
      <w:jc w:val="center"/>
      <w:rPr>
        <w:b w:val="0"/>
        <w:bCs/>
        <w:sz w:val="13"/>
        <w:szCs w:val="8"/>
      </w:rPr>
    </w:pPr>
    <w:r>
      <w:rPr>
        <w:b w:val="0"/>
        <w:bCs/>
        <w:sz w:val="13"/>
        <w:szCs w:val="8"/>
      </w:rPr>
      <w:t>AMPLIA WEALTH CONCERN</w:t>
    </w:r>
    <w:r w:rsidRPr="009857EF">
      <w:rPr>
        <w:b w:val="0"/>
        <w:bCs/>
        <w:sz w:val="13"/>
        <w:szCs w:val="8"/>
      </w:rPr>
      <w:t>|</w:t>
    </w:r>
    <w:r>
      <w:rPr>
        <w:b w:val="0"/>
        <w:bCs/>
        <w:sz w:val="13"/>
        <w:szCs w:val="8"/>
      </w:rPr>
      <w:tab/>
    </w:r>
    <w:r w:rsidRPr="009857EF">
      <w:rPr>
        <w:b w:val="0"/>
        <w:bCs/>
        <w:sz w:val="13"/>
        <w:szCs w:val="8"/>
      </w:rPr>
      <w:t xml:space="preserve"> MÜNSTERGASSE 18 | CH - 8001 </w:t>
    </w:r>
    <w:r>
      <w:rPr>
        <w:b w:val="0"/>
        <w:bCs/>
        <w:sz w:val="13"/>
        <w:szCs w:val="8"/>
      </w:rPr>
      <w:t>ZURICH</w:t>
    </w:r>
    <w:r>
      <w:rPr>
        <w:b w:val="0"/>
        <w:bCs/>
        <w:sz w:val="13"/>
        <w:szCs w:val="8"/>
      </w:rPr>
      <w:tab/>
      <w:t xml:space="preserve">            </w:t>
    </w:r>
    <w:r w:rsidRPr="009857EF">
      <w:rPr>
        <w:b w:val="0"/>
        <w:bCs/>
        <w:sz w:val="13"/>
        <w:szCs w:val="8"/>
      </w:rPr>
      <w:t>|</w:t>
    </w:r>
    <w:r>
      <w:rPr>
        <w:b w:val="0"/>
        <w:bCs/>
        <w:sz w:val="13"/>
        <w:szCs w:val="8"/>
      </w:rPr>
      <w:t xml:space="preserve">       RIKHARDINKATU     2</w:t>
    </w:r>
    <w:proofErr w:type="gramStart"/>
    <w:r w:rsidRPr="009857EF">
      <w:rPr>
        <w:b w:val="0"/>
        <w:bCs/>
        <w:sz w:val="13"/>
        <w:szCs w:val="8"/>
      </w:rPr>
      <w:t xml:space="preserve">| </w:t>
    </w:r>
    <w:r>
      <w:rPr>
        <w:b w:val="0"/>
        <w:bCs/>
        <w:sz w:val="13"/>
        <w:szCs w:val="8"/>
      </w:rPr>
      <w:t xml:space="preserve"> FI</w:t>
    </w:r>
    <w:proofErr w:type="gramEnd"/>
    <w:r>
      <w:rPr>
        <w:b w:val="0"/>
        <w:bCs/>
        <w:sz w:val="13"/>
        <w:szCs w:val="8"/>
      </w:rPr>
      <w:t xml:space="preserve"> - 00130 HELSINKI</w:t>
    </w:r>
    <w:r w:rsidRPr="009857EF">
      <w:rPr>
        <w:b w:val="0"/>
        <w:bCs/>
        <w:sz w:val="13"/>
        <w:szCs w:val="8"/>
      </w:rPr>
      <w:t>|</w:t>
    </w:r>
    <w:r>
      <w:rPr>
        <w:b w:val="0"/>
        <w:bCs/>
        <w:sz w:val="13"/>
        <w:szCs w:val="8"/>
      </w:rPr>
      <w:t xml:space="preserve">             YLIOPISTONKATU 15 A</w:t>
    </w:r>
    <w:proofErr w:type="gramStart"/>
    <w:r w:rsidRPr="009857EF">
      <w:rPr>
        <w:b w:val="0"/>
        <w:bCs/>
        <w:sz w:val="13"/>
        <w:szCs w:val="8"/>
      </w:rPr>
      <w:t xml:space="preserve">| </w:t>
    </w:r>
    <w:r>
      <w:rPr>
        <w:b w:val="0"/>
        <w:bCs/>
        <w:sz w:val="13"/>
        <w:szCs w:val="8"/>
      </w:rPr>
      <w:t xml:space="preserve"> 20100</w:t>
    </w:r>
    <w:proofErr w:type="gramEnd"/>
    <w:r>
      <w:rPr>
        <w:b w:val="0"/>
        <w:bCs/>
        <w:sz w:val="13"/>
        <w:szCs w:val="8"/>
      </w:rPr>
      <w:t xml:space="preserve"> TURKU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9A66" w14:textId="32765859" w:rsidR="009857EF" w:rsidRPr="009857EF" w:rsidRDefault="00DD3B16" w:rsidP="00DC7FE3">
    <w:pPr>
      <w:pStyle w:val="Footer"/>
      <w:jc w:val="center"/>
      <w:rPr>
        <w:b w:val="0"/>
        <w:bCs/>
        <w:sz w:val="13"/>
        <w:szCs w:val="8"/>
      </w:rPr>
    </w:pPr>
    <w:r>
      <w:rPr>
        <w:b w:val="0"/>
        <w:bCs/>
        <w:sz w:val="13"/>
        <w:szCs w:val="8"/>
      </w:rPr>
      <w:t xml:space="preserve">AMPLIA WEALTH </w:t>
    </w:r>
    <w:r w:rsidR="008E2D23">
      <w:rPr>
        <w:b w:val="0"/>
        <w:bCs/>
        <w:sz w:val="13"/>
        <w:szCs w:val="8"/>
      </w:rPr>
      <w:t>CONCERN</w:t>
    </w:r>
    <w:r w:rsidR="00DC7FE3">
      <w:rPr>
        <w:b w:val="0"/>
        <w:bCs/>
        <w:sz w:val="13"/>
        <w:szCs w:val="8"/>
      </w:rPr>
      <w:t xml:space="preserve">       </w:t>
    </w:r>
    <w:r w:rsidR="00EC79A3">
      <w:rPr>
        <w:b w:val="0"/>
        <w:bCs/>
        <w:sz w:val="13"/>
        <w:szCs w:val="8"/>
      </w:rPr>
      <w:t xml:space="preserve">  </w:t>
    </w:r>
    <w:r w:rsidR="009857EF" w:rsidRPr="009857EF">
      <w:rPr>
        <w:b w:val="0"/>
        <w:bCs/>
        <w:sz w:val="13"/>
        <w:szCs w:val="8"/>
      </w:rPr>
      <w:t>|</w:t>
    </w:r>
    <w:r w:rsidR="00EC79A3">
      <w:rPr>
        <w:b w:val="0"/>
        <w:bCs/>
        <w:sz w:val="13"/>
        <w:szCs w:val="8"/>
      </w:rPr>
      <w:tab/>
    </w:r>
    <w:r w:rsidR="006005C2" w:rsidRPr="009857EF">
      <w:rPr>
        <w:b w:val="0"/>
        <w:bCs/>
        <w:sz w:val="13"/>
        <w:szCs w:val="8"/>
      </w:rPr>
      <w:t xml:space="preserve"> MÜNSTERGASSE 18 | CH - 8001 </w:t>
    </w:r>
    <w:r w:rsidR="00EC79A3">
      <w:rPr>
        <w:b w:val="0"/>
        <w:bCs/>
        <w:sz w:val="13"/>
        <w:szCs w:val="8"/>
      </w:rPr>
      <w:t>ZURICH</w:t>
    </w:r>
    <w:r w:rsidR="00EC79A3">
      <w:rPr>
        <w:b w:val="0"/>
        <w:bCs/>
        <w:sz w:val="13"/>
        <w:szCs w:val="8"/>
      </w:rPr>
      <w:tab/>
      <w:t xml:space="preserve">            </w:t>
    </w:r>
    <w:r w:rsidR="009857EF" w:rsidRPr="009857EF">
      <w:rPr>
        <w:b w:val="0"/>
        <w:bCs/>
        <w:sz w:val="13"/>
        <w:szCs w:val="8"/>
      </w:rPr>
      <w:t>|</w:t>
    </w:r>
    <w:r w:rsidR="00EC79A3">
      <w:rPr>
        <w:b w:val="0"/>
        <w:bCs/>
        <w:sz w:val="13"/>
        <w:szCs w:val="8"/>
      </w:rPr>
      <w:t xml:space="preserve">          </w:t>
    </w:r>
    <w:r w:rsidR="008E2D23">
      <w:rPr>
        <w:b w:val="0"/>
        <w:bCs/>
        <w:sz w:val="13"/>
        <w:szCs w:val="8"/>
      </w:rPr>
      <w:t xml:space="preserve"> RIKHARDINKATU 2</w:t>
    </w:r>
    <w:proofErr w:type="gramStart"/>
    <w:r w:rsidR="008E2D23" w:rsidRPr="009857EF">
      <w:rPr>
        <w:b w:val="0"/>
        <w:bCs/>
        <w:sz w:val="13"/>
        <w:szCs w:val="8"/>
      </w:rPr>
      <w:t xml:space="preserve">| </w:t>
    </w:r>
    <w:r w:rsidR="008E2D23">
      <w:rPr>
        <w:b w:val="0"/>
        <w:bCs/>
        <w:sz w:val="13"/>
        <w:szCs w:val="8"/>
      </w:rPr>
      <w:t xml:space="preserve"> FI</w:t>
    </w:r>
    <w:proofErr w:type="gramEnd"/>
    <w:r w:rsidR="008E2D23">
      <w:rPr>
        <w:b w:val="0"/>
        <w:bCs/>
        <w:sz w:val="13"/>
        <w:szCs w:val="8"/>
      </w:rPr>
      <w:t xml:space="preserve"> - 00130 HELSINKI</w:t>
    </w:r>
    <w:r w:rsidR="00EC79A3">
      <w:rPr>
        <w:b w:val="0"/>
        <w:bCs/>
        <w:sz w:val="13"/>
        <w:szCs w:val="8"/>
      </w:rPr>
      <w:t xml:space="preserve">             </w:t>
    </w:r>
    <w:r w:rsidR="009857EF" w:rsidRPr="009857EF">
      <w:rPr>
        <w:b w:val="0"/>
        <w:bCs/>
        <w:sz w:val="13"/>
        <w:szCs w:val="8"/>
      </w:rPr>
      <w:t>|</w:t>
    </w:r>
    <w:r w:rsidR="00EC79A3">
      <w:rPr>
        <w:b w:val="0"/>
        <w:bCs/>
        <w:sz w:val="13"/>
        <w:szCs w:val="8"/>
      </w:rPr>
      <w:t xml:space="preserve">             YLIOPISTONKATU 15 A</w:t>
    </w:r>
    <w:proofErr w:type="gramStart"/>
    <w:r w:rsidR="00843CA5" w:rsidRPr="009857EF">
      <w:rPr>
        <w:b w:val="0"/>
        <w:bCs/>
        <w:sz w:val="13"/>
        <w:szCs w:val="8"/>
      </w:rPr>
      <w:t xml:space="preserve">| </w:t>
    </w:r>
    <w:r w:rsidR="00EC79A3">
      <w:rPr>
        <w:b w:val="0"/>
        <w:bCs/>
        <w:sz w:val="13"/>
        <w:szCs w:val="8"/>
      </w:rPr>
      <w:t xml:space="preserve"> 20100</w:t>
    </w:r>
    <w:proofErr w:type="gramEnd"/>
    <w:r w:rsidR="00EC79A3">
      <w:rPr>
        <w:b w:val="0"/>
        <w:bCs/>
        <w:sz w:val="13"/>
        <w:szCs w:val="8"/>
      </w:rPr>
      <w:t xml:space="preserve"> </w:t>
    </w:r>
    <w:r w:rsidR="008E2D23">
      <w:rPr>
        <w:b w:val="0"/>
        <w:bCs/>
        <w:sz w:val="13"/>
        <w:szCs w:val="8"/>
      </w:rPr>
      <w:t>TURKU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0DD9" w14:textId="77777777" w:rsidR="000935EF" w:rsidRDefault="000935EF" w:rsidP="002829E1">
      <w:r>
        <w:separator/>
      </w:r>
    </w:p>
    <w:p w14:paraId="64690A7B" w14:textId="77777777" w:rsidR="000935EF" w:rsidRDefault="000935EF" w:rsidP="002829E1"/>
  </w:footnote>
  <w:footnote w:type="continuationSeparator" w:id="0">
    <w:p w14:paraId="77BD5229" w14:textId="77777777" w:rsidR="000935EF" w:rsidRDefault="000935EF" w:rsidP="002829E1">
      <w:r>
        <w:continuationSeparator/>
      </w:r>
    </w:p>
    <w:p w14:paraId="3505EE46" w14:textId="77777777" w:rsidR="000935EF" w:rsidRDefault="000935EF" w:rsidP="002829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27pt;height:48.25pt;visibility:visible;mso-wrap-style:square" o:bullet="t">
        <v:imagedata r:id="rId1" o:title=""/>
      </v:shape>
    </w:pict>
  </w:numPicBullet>
  <w:numPicBullet w:numPicBulletId="1">
    <w:pict>
      <v:shape id="_x0000_i1171" type="#_x0000_t75" style="width:1134.35pt;height:425.9pt;visibility:visible;mso-wrap-style:square" o:bullet="t">
        <v:imagedata r:id="rId2" o:title=""/>
      </v:shape>
    </w:pict>
  </w:numPicBullet>
  <w:numPicBullet w:numPicBulletId="2">
    <w:pict>
      <v:shape id="_x0000_i1172" type="#_x0000_t75" alt="A blue and yellow logo&#10;&#10;Description automatically generated" style="width:497.9pt;height:185.45pt;visibility:visible;mso-wrap-style:square" o:bullet="t">
        <v:imagedata r:id="rId3" o:title="A blue and yellow logo&#10;&#10;Description automatically generated"/>
      </v:shape>
    </w:pict>
  </w:numPicBullet>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6C7362E"/>
    <w:multiLevelType w:val="hybridMultilevel"/>
    <w:tmpl w:val="078A913A"/>
    <w:lvl w:ilvl="0" w:tplc="F108703C">
      <w:start w:val="1"/>
      <w:numFmt w:val="bullet"/>
      <w:pStyle w:val="List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8110EC"/>
    <w:multiLevelType w:val="hybridMultilevel"/>
    <w:tmpl w:val="A330FC92"/>
    <w:lvl w:ilvl="0" w:tplc="0B66C61A">
      <w:start w:val="1"/>
      <w:numFmt w:val="decimal"/>
      <w:pStyle w:val="ListNumber"/>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555377">
    <w:abstractNumId w:val="1"/>
  </w:num>
  <w:num w:numId="2" w16cid:durableId="676231940">
    <w:abstractNumId w:val="1"/>
    <w:lvlOverride w:ilvl="0">
      <w:startOverride w:val="1"/>
    </w:lvlOverride>
  </w:num>
  <w:num w:numId="3" w16cid:durableId="50622516">
    <w:abstractNumId w:val="3"/>
  </w:num>
  <w:num w:numId="4" w16cid:durableId="513883811">
    <w:abstractNumId w:val="0"/>
  </w:num>
  <w:num w:numId="5" w16cid:durableId="589510034">
    <w:abstractNumId w:val="5"/>
  </w:num>
  <w:num w:numId="6" w16cid:durableId="2005741839">
    <w:abstractNumId w:val="4"/>
  </w:num>
  <w:num w:numId="7" w16cid:durableId="2142724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CF"/>
    <w:rsid w:val="00004E85"/>
    <w:rsid w:val="00005DC1"/>
    <w:rsid w:val="00006C81"/>
    <w:rsid w:val="0001530F"/>
    <w:rsid w:val="00016F26"/>
    <w:rsid w:val="00017B0D"/>
    <w:rsid w:val="00025D5A"/>
    <w:rsid w:val="00027D9C"/>
    <w:rsid w:val="000314B3"/>
    <w:rsid w:val="000437AF"/>
    <w:rsid w:val="000464A0"/>
    <w:rsid w:val="00047013"/>
    <w:rsid w:val="00052554"/>
    <w:rsid w:val="000617DB"/>
    <w:rsid w:val="0006265D"/>
    <w:rsid w:val="000652CB"/>
    <w:rsid w:val="00067C45"/>
    <w:rsid w:val="00072AC2"/>
    <w:rsid w:val="0007636D"/>
    <w:rsid w:val="000823B9"/>
    <w:rsid w:val="0008392D"/>
    <w:rsid w:val="0008486A"/>
    <w:rsid w:val="000935EF"/>
    <w:rsid w:val="000A1C1F"/>
    <w:rsid w:val="000A30C2"/>
    <w:rsid w:val="000A3ACC"/>
    <w:rsid w:val="000A4738"/>
    <w:rsid w:val="000D7D5C"/>
    <w:rsid w:val="000E4D73"/>
    <w:rsid w:val="000E65A6"/>
    <w:rsid w:val="000F0E64"/>
    <w:rsid w:val="000F1A82"/>
    <w:rsid w:val="000F4117"/>
    <w:rsid w:val="000F6717"/>
    <w:rsid w:val="001028C7"/>
    <w:rsid w:val="001039A9"/>
    <w:rsid w:val="00120A3E"/>
    <w:rsid w:val="00123E3B"/>
    <w:rsid w:val="00126A78"/>
    <w:rsid w:val="00130C24"/>
    <w:rsid w:val="00133F8C"/>
    <w:rsid w:val="00140103"/>
    <w:rsid w:val="00142286"/>
    <w:rsid w:val="0014610C"/>
    <w:rsid w:val="001535CE"/>
    <w:rsid w:val="00153B9B"/>
    <w:rsid w:val="0016039E"/>
    <w:rsid w:val="001624C7"/>
    <w:rsid w:val="0016484D"/>
    <w:rsid w:val="00166BFC"/>
    <w:rsid w:val="00171A11"/>
    <w:rsid w:val="00175196"/>
    <w:rsid w:val="00175EE8"/>
    <w:rsid w:val="001816AD"/>
    <w:rsid w:val="00194BB4"/>
    <w:rsid w:val="001959AF"/>
    <w:rsid w:val="001A0AC0"/>
    <w:rsid w:val="001B1135"/>
    <w:rsid w:val="001C037C"/>
    <w:rsid w:val="001D58B2"/>
    <w:rsid w:val="001D6A0A"/>
    <w:rsid w:val="001E3CA7"/>
    <w:rsid w:val="001F59B5"/>
    <w:rsid w:val="00203C09"/>
    <w:rsid w:val="002074E2"/>
    <w:rsid w:val="0021168A"/>
    <w:rsid w:val="00212BE4"/>
    <w:rsid w:val="0021442C"/>
    <w:rsid w:val="00233ADD"/>
    <w:rsid w:val="00236E4B"/>
    <w:rsid w:val="002402D2"/>
    <w:rsid w:val="002445D2"/>
    <w:rsid w:val="00245D55"/>
    <w:rsid w:val="00246824"/>
    <w:rsid w:val="00246AB2"/>
    <w:rsid w:val="00247ACA"/>
    <w:rsid w:val="00247B7F"/>
    <w:rsid w:val="0025267D"/>
    <w:rsid w:val="00253411"/>
    <w:rsid w:val="0026790E"/>
    <w:rsid w:val="00270A68"/>
    <w:rsid w:val="0027630E"/>
    <w:rsid w:val="00280BFB"/>
    <w:rsid w:val="002829E1"/>
    <w:rsid w:val="00286F6D"/>
    <w:rsid w:val="00290527"/>
    <w:rsid w:val="0029057D"/>
    <w:rsid w:val="00292278"/>
    <w:rsid w:val="00296A40"/>
    <w:rsid w:val="00297719"/>
    <w:rsid w:val="002A1EC4"/>
    <w:rsid w:val="002B4609"/>
    <w:rsid w:val="002C252F"/>
    <w:rsid w:val="002C717E"/>
    <w:rsid w:val="002D0B92"/>
    <w:rsid w:val="002D4F9B"/>
    <w:rsid w:val="002D738B"/>
    <w:rsid w:val="002E5815"/>
    <w:rsid w:val="002F586A"/>
    <w:rsid w:val="00311C14"/>
    <w:rsid w:val="003124E6"/>
    <w:rsid w:val="00314D36"/>
    <w:rsid w:val="0032256D"/>
    <w:rsid w:val="00326D3F"/>
    <w:rsid w:val="0033144F"/>
    <w:rsid w:val="003339A1"/>
    <w:rsid w:val="0033790A"/>
    <w:rsid w:val="00342AA0"/>
    <w:rsid w:val="00346568"/>
    <w:rsid w:val="0035611C"/>
    <w:rsid w:val="003654BD"/>
    <w:rsid w:val="003708D8"/>
    <w:rsid w:val="00373638"/>
    <w:rsid w:val="003771BA"/>
    <w:rsid w:val="00385082"/>
    <w:rsid w:val="00386E07"/>
    <w:rsid w:val="0039322F"/>
    <w:rsid w:val="003933AB"/>
    <w:rsid w:val="00395BEE"/>
    <w:rsid w:val="003968A9"/>
    <w:rsid w:val="003A7EAD"/>
    <w:rsid w:val="003B1E7A"/>
    <w:rsid w:val="003B4F26"/>
    <w:rsid w:val="003C1DCE"/>
    <w:rsid w:val="003C330C"/>
    <w:rsid w:val="003C5F43"/>
    <w:rsid w:val="003C7883"/>
    <w:rsid w:val="003C7ACF"/>
    <w:rsid w:val="003D72AA"/>
    <w:rsid w:val="003F1827"/>
    <w:rsid w:val="003F53D0"/>
    <w:rsid w:val="003F6EA6"/>
    <w:rsid w:val="00422948"/>
    <w:rsid w:val="00423EAB"/>
    <w:rsid w:val="00425825"/>
    <w:rsid w:val="00432159"/>
    <w:rsid w:val="00443450"/>
    <w:rsid w:val="004440B8"/>
    <w:rsid w:val="0044557A"/>
    <w:rsid w:val="00454A22"/>
    <w:rsid w:val="00454C9A"/>
    <w:rsid w:val="004551F6"/>
    <w:rsid w:val="00456AC7"/>
    <w:rsid w:val="00457D84"/>
    <w:rsid w:val="00462C14"/>
    <w:rsid w:val="004702EE"/>
    <w:rsid w:val="00474430"/>
    <w:rsid w:val="00474CFB"/>
    <w:rsid w:val="00475469"/>
    <w:rsid w:val="004862A0"/>
    <w:rsid w:val="0048657C"/>
    <w:rsid w:val="00495CF0"/>
    <w:rsid w:val="004A6AE6"/>
    <w:rsid w:val="004B0F20"/>
    <w:rsid w:val="004B2C33"/>
    <w:rsid w:val="004C03CF"/>
    <w:rsid w:val="004C0FEC"/>
    <w:rsid w:val="004C1273"/>
    <w:rsid w:val="004C46A2"/>
    <w:rsid w:val="004C563D"/>
    <w:rsid w:val="004C6953"/>
    <w:rsid w:val="004D35CA"/>
    <w:rsid w:val="004E356C"/>
    <w:rsid w:val="005001F3"/>
    <w:rsid w:val="005135AD"/>
    <w:rsid w:val="005137F3"/>
    <w:rsid w:val="00514B6D"/>
    <w:rsid w:val="005174A3"/>
    <w:rsid w:val="00524BD2"/>
    <w:rsid w:val="00526493"/>
    <w:rsid w:val="0053227A"/>
    <w:rsid w:val="00532780"/>
    <w:rsid w:val="00535F45"/>
    <w:rsid w:val="00537A57"/>
    <w:rsid w:val="005463E7"/>
    <w:rsid w:val="005558C3"/>
    <w:rsid w:val="00563AE1"/>
    <w:rsid w:val="00564364"/>
    <w:rsid w:val="00567828"/>
    <w:rsid w:val="00581E10"/>
    <w:rsid w:val="005849F7"/>
    <w:rsid w:val="00590418"/>
    <w:rsid w:val="00590662"/>
    <w:rsid w:val="00590751"/>
    <w:rsid w:val="00590F84"/>
    <w:rsid w:val="005945AA"/>
    <w:rsid w:val="00597AF0"/>
    <w:rsid w:val="005A000F"/>
    <w:rsid w:val="005A7871"/>
    <w:rsid w:val="005C26E8"/>
    <w:rsid w:val="005C3ADD"/>
    <w:rsid w:val="005D03CE"/>
    <w:rsid w:val="005D75E2"/>
    <w:rsid w:val="005E003F"/>
    <w:rsid w:val="005E0A37"/>
    <w:rsid w:val="005E2A23"/>
    <w:rsid w:val="005E3D11"/>
    <w:rsid w:val="005F231D"/>
    <w:rsid w:val="005F29CF"/>
    <w:rsid w:val="005F5E72"/>
    <w:rsid w:val="006005C2"/>
    <w:rsid w:val="00613093"/>
    <w:rsid w:val="00616840"/>
    <w:rsid w:val="00620450"/>
    <w:rsid w:val="00621132"/>
    <w:rsid w:val="00624C43"/>
    <w:rsid w:val="00626554"/>
    <w:rsid w:val="006324CF"/>
    <w:rsid w:val="00634301"/>
    <w:rsid w:val="00642527"/>
    <w:rsid w:val="00642984"/>
    <w:rsid w:val="00655EFF"/>
    <w:rsid w:val="0065794C"/>
    <w:rsid w:val="006624E2"/>
    <w:rsid w:val="00665C63"/>
    <w:rsid w:val="006706BA"/>
    <w:rsid w:val="00672810"/>
    <w:rsid w:val="0068100E"/>
    <w:rsid w:val="0068142D"/>
    <w:rsid w:val="00681F8A"/>
    <w:rsid w:val="006A11E3"/>
    <w:rsid w:val="006A2DA2"/>
    <w:rsid w:val="006A3E2E"/>
    <w:rsid w:val="006B77FB"/>
    <w:rsid w:val="006D3C40"/>
    <w:rsid w:val="006D3CDA"/>
    <w:rsid w:val="006E0448"/>
    <w:rsid w:val="006E4B3E"/>
    <w:rsid w:val="006F68AE"/>
    <w:rsid w:val="006F6DB9"/>
    <w:rsid w:val="007004D3"/>
    <w:rsid w:val="00714C0D"/>
    <w:rsid w:val="007317F6"/>
    <w:rsid w:val="00744D92"/>
    <w:rsid w:val="00754439"/>
    <w:rsid w:val="007545A3"/>
    <w:rsid w:val="00754D93"/>
    <w:rsid w:val="007558B4"/>
    <w:rsid w:val="00757DB9"/>
    <w:rsid w:val="00767102"/>
    <w:rsid w:val="007719D2"/>
    <w:rsid w:val="00776A02"/>
    <w:rsid w:val="00780344"/>
    <w:rsid w:val="007820A2"/>
    <w:rsid w:val="00783B8D"/>
    <w:rsid w:val="00784C4C"/>
    <w:rsid w:val="007872FB"/>
    <w:rsid w:val="007906B6"/>
    <w:rsid w:val="00792643"/>
    <w:rsid w:val="00794C5B"/>
    <w:rsid w:val="007A5D9A"/>
    <w:rsid w:val="007A7D15"/>
    <w:rsid w:val="007B326F"/>
    <w:rsid w:val="007B507B"/>
    <w:rsid w:val="007C01DC"/>
    <w:rsid w:val="007C15E0"/>
    <w:rsid w:val="007D715B"/>
    <w:rsid w:val="007E3DCC"/>
    <w:rsid w:val="007E3DD8"/>
    <w:rsid w:val="007F385C"/>
    <w:rsid w:val="0080092A"/>
    <w:rsid w:val="00815D6D"/>
    <w:rsid w:val="00831F59"/>
    <w:rsid w:val="00833060"/>
    <w:rsid w:val="00833690"/>
    <w:rsid w:val="00840034"/>
    <w:rsid w:val="00840D16"/>
    <w:rsid w:val="00843CA5"/>
    <w:rsid w:val="00844F60"/>
    <w:rsid w:val="0084768D"/>
    <w:rsid w:val="008538C6"/>
    <w:rsid w:val="008607BB"/>
    <w:rsid w:val="008701C8"/>
    <w:rsid w:val="00871150"/>
    <w:rsid w:val="008726D8"/>
    <w:rsid w:val="00890905"/>
    <w:rsid w:val="00891EBD"/>
    <w:rsid w:val="00895E1F"/>
    <w:rsid w:val="008A2D15"/>
    <w:rsid w:val="008A2DBF"/>
    <w:rsid w:val="008A76B3"/>
    <w:rsid w:val="008B4EAD"/>
    <w:rsid w:val="008C4989"/>
    <w:rsid w:val="008D3EA4"/>
    <w:rsid w:val="008D49CA"/>
    <w:rsid w:val="008D7463"/>
    <w:rsid w:val="008E1C0C"/>
    <w:rsid w:val="008E2D23"/>
    <w:rsid w:val="008E2EDE"/>
    <w:rsid w:val="008E7F1C"/>
    <w:rsid w:val="008F0BB0"/>
    <w:rsid w:val="009039ED"/>
    <w:rsid w:val="009040DD"/>
    <w:rsid w:val="009043EF"/>
    <w:rsid w:val="00906B1A"/>
    <w:rsid w:val="0090790C"/>
    <w:rsid w:val="009108C8"/>
    <w:rsid w:val="0091790B"/>
    <w:rsid w:val="009216E9"/>
    <w:rsid w:val="0092188E"/>
    <w:rsid w:val="00925193"/>
    <w:rsid w:val="009370C2"/>
    <w:rsid w:val="009409A1"/>
    <w:rsid w:val="009463DC"/>
    <w:rsid w:val="00946C5C"/>
    <w:rsid w:val="0095175B"/>
    <w:rsid w:val="00956706"/>
    <w:rsid w:val="00966E3A"/>
    <w:rsid w:val="0097230E"/>
    <w:rsid w:val="0097710A"/>
    <w:rsid w:val="00980CA7"/>
    <w:rsid w:val="00981AA8"/>
    <w:rsid w:val="009857EF"/>
    <w:rsid w:val="0099794B"/>
    <w:rsid w:val="009C0F4C"/>
    <w:rsid w:val="009D1CE0"/>
    <w:rsid w:val="009D76E5"/>
    <w:rsid w:val="009E11C5"/>
    <w:rsid w:val="009E678E"/>
    <w:rsid w:val="009E6B01"/>
    <w:rsid w:val="009F3BEE"/>
    <w:rsid w:val="009F50F4"/>
    <w:rsid w:val="00A00E26"/>
    <w:rsid w:val="00A125B1"/>
    <w:rsid w:val="00A22344"/>
    <w:rsid w:val="00A25A6A"/>
    <w:rsid w:val="00A27F92"/>
    <w:rsid w:val="00A41D44"/>
    <w:rsid w:val="00A44504"/>
    <w:rsid w:val="00A44B4E"/>
    <w:rsid w:val="00A52DD3"/>
    <w:rsid w:val="00A71AC7"/>
    <w:rsid w:val="00A71BD1"/>
    <w:rsid w:val="00A75AAF"/>
    <w:rsid w:val="00A8139A"/>
    <w:rsid w:val="00A81F01"/>
    <w:rsid w:val="00A8244B"/>
    <w:rsid w:val="00A8337E"/>
    <w:rsid w:val="00A8488B"/>
    <w:rsid w:val="00A96D06"/>
    <w:rsid w:val="00AA052D"/>
    <w:rsid w:val="00AA0C8B"/>
    <w:rsid w:val="00AA6FB0"/>
    <w:rsid w:val="00AB0118"/>
    <w:rsid w:val="00AB312A"/>
    <w:rsid w:val="00AC05D1"/>
    <w:rsid w:val="00AD44F8"/>
    <w:rsid w:val="00AD542E"/>
    <w:rsid w:val="00AD7A6C"/>
    <w:rsid w:val="00AE2CB9"/>
    <w:rsid w:val="00AF0235"/>
    <w:rsid w:val="00AF02F9"/>
    <w:rsid w:val="00AF0CFD"/>
    <w:rsid w:val="00AF3E09"/>
    <w:rsid w:val="00AF43B9"/>
    <w:rsid w:val="00AF52A1"/>
    <w:rsid w:val="00B01556"/>
    <w:rsid w:val="00B122FA"/>
    <w:rsid w:val="00B1761F"/>
    <w:rsid w:val="00B20DC5"/>
    <w:rsid w:val="00B210C3"/>
    <w:rsid w:val="00B21E2B"/>
    <w:rsid w:val="00B252BE"/>
    <w:rsid w:val="00B25B03"/>
    <w:rsid w:val="00B3519A"/>
    <w:rsid w:val="00B37087"/>
    <w:rsid w:val="00B43CB5"/>
    <w:rsid w:val="00B43CBE"/>
    <w:rsid w:val="00B46B75"/>
    <w:rsid w:val="00B4771A"/>
    <w:rsid w:val="00B51371"/>
    <w:rsid w:val="00B63F6C"/>
    <w:rsid w:val="00B76F71"/>
    <w:rsid w:val="00B775C4"/>
    <w:rsid w:val="00B802F7"/>
    <w:rsid w:val="00B80C83"/>
    <w:rsid w:val="00B81983"/>
    <w:rsid w:val="00B861DD"/>
    <w:rsid w:val="00B91D3F"/>
    <w:rsid w:val="00BA180E"/>
    <w:rsid w:val="00BB3CB8"/>
    <w:rsid w:val="00BB7B18"/>
    <w:rsid w:val="00BC1257"/>
    <w:rsid w:val="00BE19A9"/>
    <w:rsid w:val="00BE1F76"/>
    <w:rsid w:val="00BE4CC9"/>
    <w:rsid w:val="00BE668F"/>
    <w:rsid w:val="00BE72AD"/>
    <w:rsid w:val="00BF2D05"/>
    <w:rsid w:val="00BF4A58"/>
    <w:rsid w:val="00C0032E"/>
    <w:rsid w:val="00C05ECC"/>
    <w:rsid w:val="00C1178B"/>
    <w:rsid w:val="00C17573"/>
    <w:rsid w:val="00C22DC0"/>
    <w:rsid w:val="00C307E6"/>
    <w:rsid w:val="00C351D1"/>
    <w:rsid w:val="00C40AAB"/>
    <w:rsid w:val="00C4499A"/>
    <w:rsid w:val="00C602BA"/>
    <w:rsid w:val="00C64548"/>
    <w:rsid w:val="00C65A1D"/>
    <w:rsid w:val="00C758FE"/>
    <w:rsid w:val="00C812C4"/>
    <w:rsid w:val="00CA2F89"/>
    <w:rsid w:val="00CA32C6"/>
    <w:rsid w:val="00CB0B26"/>
    <w:rsid w:val="00CB0D29"/>
    <w:rsid w:val="00CB66DA"/>
    <w:rsid w:val="00CC6645"/>
    <w:rsid w:val="00CD0598"/>
    <w:rsid w:val="00CD0AA1"/>
    <w:rsid w:val="00CD16AE"/>
    <w:rsid w:val="00CD3C1E"/>
    <w:rsid w:val="00CE0BC7"/>
    <w:rsid w:val="00CE1EA0"/>
    <w:rsid w:val="00CF3E96"/>
    <w:rsid w:val="00CF6659"/>
    <w:rsid w:val="00D02943"/>
    <w:rsid w:val="00D11AC5"/>
    <w:rsid w:val="00D216E3"/>
    <w:rsid w:val="00D26F04"/>
    <w:rsid w:val="00D32368"/>
    <w:rsid w:val="00D505DA"/>
    <w:rsid w:val="00D55487"/>
    <w:rsid w:val="00D616D5"/>
    <w:rsid w:val="00D651DA"/>
    <w:rsid w:val="00D7052F"/>
    <w:rsid w:val="00D722DD"/>
    <w:rsid w:val="00D73A8E"/>
    <w:rsid w:val="00D75BD8"/>
    <w:rsid w:val="00D75D42"/>
    <w:rsid w:val="00D81C43"/>
    <w:rsid w:val="00D8484A"/>
    <w:rsid w:val="00D84EED"/>
    <w:rsid w:val="00D86097"/>
    <w:rsid w:val="00D875A0"/>
    <w:rsid w:val="00D9400E"/>
    <w:rsid w:val="00D963D1"/>
    <w:rsid w:val="00DA114C"/>
    <w:rsid w:val="00DA29BB"/>
    <w:rsid w:val="00DA556D"/>
    <w:rsid w:val="00DB31C3"/>
    <w:rsid w:val="00DC559E"/>
    <w:rsid w:val="00DC7FE3"/>
    <w:rsid w:val="00DD115E"/>
    <w:rsid w:val="00DD3B16"/>
    <w:rsid w:val="00DD4448"/>
    <w:rsid w:val="00DD45D4"/>
    <w:rsid w:val="00DE3C37"/>
    <w:rsid w:val="00DF31AE"/>
    <w:rsid w:val="00DF7B38"/>
    <w:rsid w:val="00E035FA"/>
    <w:rsid w:val="00E04C40"/>
    <w:rsid w:val="00E04D20"/>
    <w:rsid w:val="00E13E29"/>
    <w:rsid w:val="00E3697B"/>
    <w:rsid w:val="00E373CA"/>
    <w:rsid w:val="00E50DA6"/>
    <w:rsid w:val="00E52895"/>
    <w:rsid w:val="00E56DB9"/>
    <w:rsid w:val="00E817B9"/>
    <w:rsid w:val="00E8393B"/>
    <w:rsid w:val="00E85155"/>
    <w:rsid w:val="00E87D27"/>
    <w:rsid w:val="00E95BAD"/>
    <w:rsid w:val="00EA4D73"/>
    <w:rsid w:val="00EA7BFF"/>
    <w:rsid w:val="00EB4957"/>
    <w:rsid w:val="00EB50BA"/>
    <w:rsid w:val="00EC249E"/>
    <w:rsid w:val="00EC4CA0"/>
    <w:rsid w:val="00EC79A3"/>
    <w:rsid w:val="00ED0D86"/>
    <w:rsid w:val="00ED4AE7"/>
    <w:rsid w:val="00ED5AE5"/>
    <w:rsid w:val="00ED70CC"/>
    <w:rsid w:val="00EE1223"/>
    <w:rsid w:val="00EE20E1"/>
    <w:rsid w:val="00EF135C"/>
    <w:rsid w:val="00F01D9C"/>
    <w:rsid w:val="00F139E8"/>
    <w:rsid w:val="00F17E4C"/>
    <w:rsid w:val="00F2616F"/>
    <w:rsid w:val="00F2665F"/>
    <w:rsid w:val="00F316BE"/>
    <w:rsid w:val="00F31FEB"/>
    <w:rsid w:val="00F32EDA"/>
    <w:rsid w:val="00F5137A"/>
    <w:rsid w:val="00F53C29"/>
    <w:rsid w:val="00F54B38"/>
    <w:rsid w:val="00F64BB9"/>
    <w:rsid w:val="00F7003B"/>
    <w:rsid w:val="00F70DE9"/>
    <w:rsid w:val="00F742E5"/>
    <w:rsid w:val="00F875F8"/>
    <w:rsid w:val="00F9111C"/>
    <w:rsid w:val="00F937A9"/>
    <w:rsid w:val="00FA385A"/>
    <w:rsid w:val="00FA4075"/>
    <w:rsid w:val="00FA4130"/>
    <w:rsid w:val="00FA58B2"/>
    <w:rsid w:val="00FA6E3C"/>
    <w:rsid w:val="00FB032B"/>
    <w:rsid w:val="00FC1CE1"/>
    <w:rsid w:val="00FC1CF5"/>
    <w:rsid w:val="00FC26B2"/>
    <w:rsid w:val="00FC62DB"/>
    <w:rsid w:val="00FD6985"/>
    <w:rsid w:val="00FD77E4"/>
    <w:rsid w:val="00FF286A"/>
    <w:rsid w:val="00FF3D93"/>
    <w:rsid w:val="00FF6B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EFB611"/>
  <w15:chartTrackingRefBased/>
  <w15:docId w15:val="{C52DB1DA-EA0F-D145-8E84-A1E22073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A2A2A"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9E1"/>
    <w:pPr>
      <w:spacing w:after="120" w:line="276" w:lineRule="auto"/>
    </w:pPr>
    <w:rPr>
      <w:rFonts w:ascii="DM Sans 14pt" w:hAnsi="DM Sans 14pt"/>
      <w:color w:val="161A19"/>
      <w:sz w:val="16"/>
      <w:szCs w:val="15"/>
    </w:rPr>
  </w:style>
  <w:style w:type="paragraph" w:styleId="Heading1">
    <w:name w:val="heading 1"/>
    <w:basedOn w:val="Normal"/>
    <w:next w:val="Normal"/>
    <w:link w:val="Heading1Char"/>
    <w:uiPriority w:val="9"/>
    <w:qFormat/>
    <w:rsid w:val="002829E1"/>
    <w:pPr>
      <w:pageBreakBefore/>
      <w:spacing w:after="320" w:line="240" w:lineRule="auto"/>
      <w:contextualSpacing/>
      <w:outlineLvl w:val="0"/>
    </w:pPr>
    <w:rPr>
      <w:rFonts w:ascii="Neuton" w:eastAsiaTheme="majorEastAsia" w:hAnsi="Neuton" w:cstheme="majorBidi"/>
      <w:noProof/>
      <w:color w:val="00275B"/>
      <w:sz w:val="64"/>
      <w:szCs w:val="64"/>
    </w:rPr>
  </w:style>
  <w:style w:type="paragraph" w:styleId="Heading2">
    <w:name w:val="heading 2"/>
    <w:basedOn w:val="Normal"/>
    <w:next w:val="Normal"/>
    <w:link w:val="Heading2Char"/>
    <w:uiPriority w:val="9"/>
    <w:unhideWhenUsed/>
    <w:qFormat/>
    <w:rsid w:val="002829E1"/>
    <w:pPr>
      <w:keepNext/>
      <w:keepLines/>
      <w:spacing w:before="240" w:line="240" w:lineRule="auto"/>
      <w:contextualSpacing/>
      <w:outlineLvl w:val="1"/>
    </w:pPr>
    <w:rPr>
      <w:rFonts w:ascii="DM Sans 14pt Medium" w:eastAsiaTheme="majorEastAsia" w:hAnsi="DM Sans 14pt Medium" w:cstheme="majorBidi"/>
      <w:color w:val="CD9D4D"/>
      <w:sz w:val="22"/>
    </w:rPr>
  </w:style>
  <w:style w:type="paragraph" w:styleId="Heading3">
    <w:name w:val="heading 3"/>
    <w:basedOn w:val="Normal"/>
    <w:next w:val="Normal"/>
    <w:link w:val="Heading3Char"/>
    <w:uiPriority w:val="9"/>
    <w:unhideWhenUsed/>
    <w:qFormat/>
    <w:rsid w:val="00634301"/>
    <w:pPr>
      <w:keepNext/>
      <w:keepLines/>
      <w:spacing w:after="320" w:line="240" w:lineRule="auto"/>
      <w:contextualSpacing/>
      <w:outlineLvl w:val="2"/>
    </w:pPr>
    <w:rPr>
      <w:rFonts w:ascii="DM Sans 14pt Medium" w:eastAsiaTheme="majorEastAsia" w:hAnsi="DM Sans 14pt Medium" w:cstheme="majorBidi"/>
      <w:sz w:val="36"/>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949494"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2A2A2A" w:themeColor="text2"/>
      </w:pBdr>
      <w:spacing w:after="320" w:line="240" w:lineRule="auto"/>
      <w:contextualSpacing/>
      <w:outlineLvl w:val="5"/>
    </w:pPr>
    <w:rPr>
      <w:rFonts w:asciiTheme="majorHAnsi" w:eastAsiaTheme="majorEastAsia" w:hAnsiTheme="majorHAnsi" w:cstheme="majorBidi"/>
      <w:b/>
      <w:color w:val="E09B3B"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949494"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A0C8B"/>
    <w:pPr>
      <w:spacing w:after="0" w:line="240" w:lineRule="auto"/>
    </w:pPr>
    <w:rPr>
      <w:b/>
      <w:color w:val="CD9D4D"/>
      <w:sz w:val="20"/>
    </w:rPr>
  </w:style>
  <w:style w:type="character" w:customStyle="1" w:styleId="FooterChar">
    <w:name w:val="Footer Char"/>
    <w:basedOn w:val="DefaultParagraphFont"/>
    <w:link w:val="Footer"/>
    <w:uiPriority w:val="99"/>
    <w:rsid w:val="00AA0C8B"/>
    <w:rPr>
      <w:rFonts w:ascii="DM Sans 14pt" w:hAnsi="DM Sans 14pt"/>
      <w:b/>
      <w:color w:val="CD9D4D"/>
      <w:sz w:val="20"/>
    </w:rPr>
  </w:style>
  <w:style w:type="character" w:customStyle="1" w:styleId="Heading1Char">
    <w:name w:val="Heading 1 Char"/>
    <w:basedOn w:val="DefaultParagraphFont"/>
    <w:link w:val="Heading1"/>
    <w:uiPriority w:val="9"/>
    <w:rsid w:val="002829E1"/>
    <w:rPr>
      <w:rFonts w:ascii="Neuton" w:eastAsiaTheme="majorEastAsia" w:hAnsi="Neuton" w:cstheme="majorBidi"/>
      <w:noProof/>
      <w:color w:val="00275B"/>
      <w:sz w:val="64"/>
      <w:szCs w:val="64"/>
    </w:rPr>
  </w:style>
  <w:style w:type="character" w:customStyle="1" w:styleId="Heading2Char">
    <w:name w:val="Heading 2 Char"/>
    <w:basedOn w:val="DefaultParagraphFont"/>
    <w:link w:val="Heading2"/>
    <w:uiPriority w:val="9"/>
    <w:rsid w:val="002829E1"/>
    <w:rPr>
      <w:rFonts w:ascii="DM Sans 14pt Medium" w:eastAsiaTheme="majorEastAsia" w:hAnsi="DM Sans 14pt Medium" w:cstheme="majorBidi"/>
      <w:color w:val="CD9D4D"/>
      <w:szCs w:val="15"/>
    </w:rPr>
  </w:style>
  <w:style w:type="paragraph" w:styleId="ListBullet">
    <w:name w:val="List Bullet"/>
    <w:basedOn w:val="Normal"/>
    <w:uiPriority w:val="10"/>
    <w:qFormat/>
    <w:pPr>
      <w:numPr>
        <w:numId w:val="7"/>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pPr>
      <w:spacing w:before="200" w:line="240" w:lineRule="auto"/>
    </w:pPr>
    <w:tblPr>
      <w:tblBorders>
        <w:insideH w:val="single" w:sz="8" w:space="0" w:color="2A2A2A"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E09B3B" w:themeColor="accent1"/>
        <w:sz w:val="28"/>
      </w:rPr>
      <w:tblPr/>
      <w:trPr>
        <w:tblHeader/>
      </w:trPr>
      <w:tcPr>
        <w:tcBorders>
          <w:top w:val="nil"/>
          <w:left w:val="nil"/>
          <w:bottom w:val="single" w:sz="24" w:space="0" w:color="2A2A2A"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634301"/>
    <w:rPr>
      <w:rFonts w:ascii="DM Sans 14pt Medium" w:eastAsiaTheme="majorEastAsia" w:hAnsi="DM Sans 14pt Medium" w:cstheme="majorBidi"/>
      <w:color w:val="161A19"/>
      <w:sz w:val="36"/>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949494"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E09B3B"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949494" w:themeColor="text2" w:themeTint="80"/>
      <w:sz w:val="32"/>
      <w:szCs w:val="21"/>
    </w:rPr>
  </w:style>
  <w:style w:type="character" w:styleId="Emphasis">
    <w:name w:val="Emphasis"/>
    <w:basedOn w:val="DefaultParagraphFont"/>
    <w:uiPriority w:val="20"/>
    <w:semiHidden/>
    <w:unhideWhenUsed/>
    <w:qFormat/>
    <w:rPr>
      <w:i w:val="0"/>
      <w:iCs/>
      <w:color w:val="E09B3B" w:themeColor="accent1"/>
    </w:rPr>
  </w:style>
  <w:style w:type="character" w:styleId="IntenseEmphasis">
    <w:name w:val="Intense Emphasis"/>
    <w:basedOn w:val="DefaultParagraphFont"/>
    <w:uiPriority w:val="21"/>
    <w:semiHidden/>
    <w:unhideWhenUsed/>
    <w:qFormat/>
    <w:rPr>
      <w:b/>
      <w:i/>
      <w:iCs/>
      <w:color w:val="E09B3B" w:themeColor="accent1"/>
    </w:rPr>
  </w:style>
  <w:style w:type="character" w:styleId="Strong">
    <w:name w:val="Strong"/>
    <w:basedOn w:val="DefaultParagraphFont"/>
    <w:uiPriority w:val="22"/>
    <w:unhideWhenUsed/>
    <w:qFormat/>
    <w:rPr>
      <w:b/>
      <w:bCs/>
    </w:rPr>
  </w:style>
  <w:style w:type="character" w:styleId="SubtleReference">
    <w:name w:val="Subtle Reference"/>
    <w:basedOn w:val="DefaultParagraphFont"/>
    <w:uiPriority w:val="31"/>
    <w:semiHidden/>
    <w:unhideWhenUsed/>
    <w:qFormat/>
    <w:rPr>
      <w:caps/>
      <w:smallCaps w:val="0"/>
      <w:color w:val="2A2A2A" w:themeColor="text2"/>
    </w:rPr>
  </w:style>
  <w:style w:type="character" w:styleId="IntenseReference">
    <w:name w:val="Intense Reference"/>
    <w:basedOn w:val="DefaultParagraphFont"/>
    <w:uiPriority w:val="32"/>
    <w:semiHidden/>
    <w:unhideWhenUsed/>
    <w:qFormat/>
    <w:rPr>
      <w:b/>
      <w:bCs/>
      <w:caps/>
      <w:smallCaps w:val="0"/>
      <w:color w:val="2A2A2A"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pageBreakBefore w:val="0"/>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E09B3B" w:themeColor="accent1"/>
      <w:sz w:val="56"/>
    </w:rPr>
  </w:style>
  <w:style w:type="character" w:customStyle="1" w:styleId="SubtitleChar">
    <w:name w:val="Subtitle Char"/>
    <w:basedOn w:val="DefaultParagraphFont"/>
    <w:link w:val="Subtitle"/>
    <w:uiPriority w:val="11"/>
    <w:semiHidden/>
    <w:rPr>
      <w:rFonts w:eastAsiaTheme="minorEastAsia"/>
      <w:b/>
      <w:color w:val="E09B3B"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2A2A2A" w:themeColor="text2"/>
    </w:rPr>
  </w:style>
  <w:style w:type="paragraph" w:styleId="Quote">
    <w:name w:val="Quote"/>
    <w:basedOn w:val="Normal"/>
    <w:next w:val="Normal"/>
    <w:link w:val="QuoteChar"/>
    <w:uiPriority w:val="29"/>
    <w:unhideWhenUsed/>
    <w:qFormat/>
    <w:rsid w:val="00634301"/>
    <w:pPr>
      <w:spacing w:before="360" w:after="360"/>
      <w:contextualSpacing/>
    </w:pPr>
    <w:rPr>
      <w:rFonts w:ascii="Neuton" w:hAnsi="Neuton"/>
      <w:iCs/>
      <w:sz w:val="56"/>
    </w:rPr>
  </w:style>
  <w:style w:type="character" w:customStyle="1" w:styleId="QuoteChar">
    <w:name w:val="Quote Char"/>
    <w:basedOn w:val="DefaultParagraphFont"/>
    <w:link w:val="Quote"/>
    <w:uiPriority w:val="29"/>
    <w:rsid w:val="00634301"/>
    <w:rPr>
      <w:rFonts w:ascii="Neuton" w:hAnsi="Neuton"/>
      <w:iCs/>
      <w:color w:val="161A19"/>
      <w:sz w:val="56"/>
    </w:rPr>
  </w:style>
  <w:style w:type="paragraph" w:styleId="Header">
    <w:name w:val="header"/>
    <w:basedOn w:val="Normal"/>
    <w:link w:val="HeaderChar"/>
    <w:uiPriority w:val="99"/>
    <w:unhideWhenUsed/>
    <w:qFormat/>
    <w:rsid w:val="00AA0C8B"/>
    <w:pPr>
      <w:spacing w:after="0" w:line="240" w:lineRule="auto"/>
    </w:pPr>
    <w:rPr>
      <w:color w:val="CD9D4D"/>
    </w:rPr>
  </w:style>
  <w:style w:type="character" w:customStyle="1" w:styleId="HeaderChar">
    <w:name w:val="Header Char"/>
    <w:basedOn w:val="DefaultParagraphFont"/>
    <w:link w:val="Header"/>
    <w:uiPriority w:val="99"/>
    <w:rsid w:val="00AA0C8B"/>
    <w:rPr>
      <w:rFonts w:ascii="DM Sans 14pt" w:hAnsi="DM Sans 14pt"/>
      <w:color w:val="CD9D4D"/>
      <w:sz w:val="24"/>
    </w:rPr>
  </w:style>
  <w:style w:type="paragraph" w:styleId="ListNumber">
    <w:name w:val="List Number"/>
    <w:basedOn w:val="Normal"/>
    <w:uiPriority w:val="11"/>
    <w:qFormat/>
    <w:pPr>
      <w:numPr>
        <w:numId w:val="6"/>
      </w:numPr>
    </w:pPr>
  </w:style>
  <w:style w:type="paragraph" w:styleId="BlockText">
    <w:name w:val="Block Text"/>
    <w:basedOn w:val="Normal"/>
    <w:uiPriority w:val="31"/>
    <w:unhideWhenUsed/>
    <w:pPr>
      <w:spacing w:before="360" w:after="360"/>
    </w:pPr>
    <w:rPr>
      <w:rFonts w:eastAsiaTheme="minorEastAsia"/>
      <w:iCs/>
      <w:color w:val="3E3E3E" w:themeColor="text2" w:themeTint="E6"/>
      <w:sz w:val="28"/>
    </w:rPr>
  </w:style>
  <w:style w:type="paragraph" w:styleId="NormalWeb">
    <w:name w:val="Normal (Web)"/>
    <w:basedOn w:val="Normal"/>
    <w:uiPriority w:val="99"/>
    <w:semiHidden/>
    <w:unhideWhenUsed/>
    <w:rsid w:val="00AF02F9"/>
    <w:pPr>
      <w:spacing w:before="100" w:beforeAutospacing="1" w:after="100" w:afterAutospacing="1" w:line="240" w:lineRule="auto"/>
    </w:pPr>
    <w:rPr>
      <w:rFonts w:ascii="Times New Roman" w:eastAsia="Times New Roman" w:hAnsi="Times New Roman" w:cs="Times New Roman"/>
      <w:color w:val="auto"/>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991380">
      <w:bodyDiv w:val="1"/>
      <w:marLeft w:val="0"/>
      <w:marRight w:val="0"/>
      <w:marTop w:val="0"/>
      <w:marBottom w:val="0"/>
      <w:divBdr>
        <w:top w:val="none" w:sz="0" w:space="0" w:color="auto"/>
        <w:left w:val="none" w:sz="0" w:space="0" w:color="auto"/>
        <w:bottom w:val="none" w:sz="0" w:space="0" w:color="auto"/>
        <w:right w:val="none" w:sz="0" w:space="0" w:color="auto"/>
      </w:divBdr>
    </w:div>
    <w:div w:id="210267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2A2A2A"/>
      </a:dk2>
      <a:lt2>
        <a:srgbClr val="F9F4EE"/>
      </a:lt2>
      <a:accent1>
        <a:srgbClr val="E09B3B"/>
      </a:accent1>
      <a:accent2>
        <a:srgbClr val="487B97"/>
      </a:accent2>
      <a:accent3>
        <a:srgbClr val="847B97"/>
      </a:accent3>
      <a:accent4>
        <a:srgbClr val="D96362"/>
      </a:accent4>
      <a:accent5>
        <a:srgbClr val="2B8073"/>
      </a:accent5>
      <a:accent6>
        <a:srgbClr val="B09C7D"/>
      </a:accent6>
      <a:hlink>
        <a:srgbClr val="847B97"/>
      </a:hlink>
      <a:folHlink>
        <a:srgbClr val="487B97"/>
      </a:folHlink>
    </a:clrScheme>
    <a:fontScheme name="Custom 9">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AE681-F351-445F-A7B7-16287A18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Ramsankar Muraleedharan</dc:creator>
  <cp:keywords>docId:29FE40B84EA3DCABC7A0B0AA125275F5</cp:keywords>
  <dc:description/>
  <cp:lastModifiedBy>Mikael Simonsen</cp:lastModifiedBy>
  <cp:revision>5</cp:revision>
  <cp:lastPrinted>2024-10-01T10:44:00Z</cp:lastPrinted>
  <dcterms:created xsi:type="dcterms:W3CDTF">2025-09-01T10:31:00Z</dcterms:created>
  <dcterms:modified xsi:type="dcterms:W3CDTF">2025-09-01T11:29:00Z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ies>
</file>